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AE" w:rsidRDefault="008267A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6"/>
        <w:gridCol w:w="6"/>
      </w:tblGrid>
      <w:tr w:rsidR="00FE4626" w:rsidRPr="00FE4626" w:rsidTr="008267AE">
        <w:trPr>
          <w:tblCellSpacing w:w="0" w:type="dxa"/>
          <w:jc w:val="center"/>
        </w:trPr>
        <w:tc>
          <w:tcPr>
            <w:tcW w:w="4997" w:type="pct"/>
            <w:hideMark/>
          </w:tcPr>
          <w:tbl>
            <w:tblPr>
              <w:tblW w:w="9356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3"/>
            </w:tblGrid>
            <w:tr w:rsidR="00FE4626" w:rsidRPr="00FE4626" w:rsidTr="00972C73">
              <w:trPr>
                <w:tblCellSpacing w:w="15" w:type="dxa"/>
                <w:jc w:val="center"/>
              </w:trPr>
              <w:tc>
                <w:tcPr>
                  <w:tcW w:w="4968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FE4626" w:rsidRPr="00FE4626" w:rsidRDefault="008F7E65" w:rsidP="00FE4626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48"/>
                      <w:szCs w:val="48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48"/>
                      <w:szCs w:val="48"/>
                      <w:lang w:eastAsia="en-AU"/>
                    </w:rPr>
                    <w:t>State Orienteering League (SOL)</w:t>
                  </w:r>
                  <w:r w:rsidR="00FE4626" w:rsidRPr="00FE4626"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48"/>
                      <w:szCs w:val="48"/>
                      <w:lang w:eastAsia="en-AU"/>
                    </w:rPr>
                    <w:t>- Rules</w:t>
                  </w:r>
                </w:p>
                <w:p w:rsidR="00FE4626" w:rsidRPr="00FE4626" w:rsidRDefault="006C2657" w:rsidP="00FE462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(Revised for 2020</w:t>
                  </w:r>
                  <w:r w:rsidR="00FE4626" w:rsidRPr="00FE4626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)</w:t>
                  </w:r>
                </w:p>
                <w:p w:rsidR="008F7E65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The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State 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Orienteer</w:t>
                  </w:r>
                  <w:r w:rsidR="008F7E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ing league (SOL) is a series of orienteering events </w:t>
                  </w:r>
                  <w:r w:rsidR="008F7E65"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running throughout the season </w:t>
                  </w:r>
                  <w:r w:rsidR="008F7E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which is </w:t>
                  </w:r>
                  <w:r w:rsidR="008F7E65"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designed to permit comparison of performance </w:t>
                  </w:r>
                  <w:r w:rsidR="008F7E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within and </w:t>
                  </w:r>
                  <w:r w:rsidR="008F7E65"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between orie</w:t>
                  </w:r>
                  <w:r w:rsidR="008F7E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nteers of different age classes.</w:t>
                  </w:r>
                </w:p>
                <w:p w:rsidR="00FE4626" w:rsidRPr="00FE4626" w:rsidRDefault="008F7E65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One outcome will be the Orienteer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of the Year (OY)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for which there are four c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ategories:</w:t>
                  </w:r>
                </w:p>
                <w:p w:rsidR="00FE4626" w:rsidRPr="00FE4626" w:rsidRDefault="00FE4626" w:rsidP="00FE462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Senior Men (M-16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upwards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) </w:t>
                  </w:r>
                </w:p>
                <w:p w:rsidR="00FE4626" w:rsidRPr="00FE4626" w:rsidRDefault="00FE4626" w:rsidP="00FE462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Senior Women (W-16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upwards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) </w:t>
                  </w:r>
                </w:p>
                <w:p w:rsidR="00FE4626" w:rsidRPr="00FE4626" w:rsidRDefault="00FE4626" w:rsidP="00FE462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Junior Men (M-10 to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M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-14) </w:t>
                  </w:r>
                </w:p>
                <w:p w:rsidR="00FE4626" w:rsidRDefault="00FE4626" w:rsidP="00FE462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Junior Women (W-10 to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W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-14) 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Eligibility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The competition is open to Full Club O.A.W.A. members only.</w:t>
                  </w:r>
                </w:p>
                <w:p w:rsidR="00FE4626" w:rsidRPr="00FE4626" w:rsidRDefault="008F7E65" w:rsidP="00FE462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 xml:space="preserve">SOL </w:t>
                  </w:r>
                  <w:r w:rsidR="00FE4626" w:rsidRPr="00FE4626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Events</w:t>
                  </w:r>
                </w:p>
                <w:p w:rsid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Points for the competition may be gained at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six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nominated OY events each season. </w:t>
                  </w:r>
                  <w:r w:rsidR="007E466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T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hese events will be the WA Long State Championships, WA Middle Distance State Championships, the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WA Sprint Championships, 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and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the nominated non-championship State Orienteering League </w:t>
                  </w:r>
                  <w:r w:rsidR="005C3F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(SOL)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events (one of each) over the same distances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.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Scoring</w:t>
                  </w:r>
                  <w:r w:rsidR="00233842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 xml:space="preserve"> for the OY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The winner of each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C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ategory </w:t>
                  </w:r>
                  <w:r w:rsidR="00154671"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(Senior Men, Senior Women, Junior Men and Junior Women)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is the highest </w:t>
                  </w:r>
                  <w:proofErr w:type="gramStart"/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points</w:t>
                  </w:r>
                  <w:proofErr w:type="gramEnd"/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scorer in the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C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ategory after the last </w:t>
                  </w:r>
                  <w:r w:rsidR="008F7E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SOL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event of the season.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All events carry equal weighting, except that if there is a tie for winner, the points from the Long State Championships shall determine the outcome, followed if necessary by the points from the Middle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D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istance State Championships.</w:t>
                  </w:r>
                </w:p>
                <w:p w:rsidR="00FE4626" w:rsidRPr="00FE4626" w:rsidRDefault="006236D9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The best f</w:t>
                  </w:r>
                  <w:r w:rsidR="00CA37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our</w:t>
                  </w:r>
                  <w:r w:rsidR="00FE4626"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events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will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FE4626"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be counted towards each competitor's total score, event scores being added together to give final scores. 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Positions at each event are determined by rates per kilometre, multiplied by age class adjustment factors (see below). Competitors in each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C</w:t>
                  </w:r>
                  <w:r w:rsidR="00154671"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ategory 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are then ranked according to their adjusted kilometre rates.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Points are allocated to competitors at each event within each </w:t>
                  </w:r>
                  <w:r w:rsidR="001546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C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ategory according to position on the ranking table for their category; 100 for the highest.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If a competitor runs a course that does not qualify for OY points (see below) this will be shown by * beside his or her name in the ranking table for the event.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lastRenderedPageBreak/>
                    <w:t>Age class adjustment factors:</w:t>
                  </w:r>
                </w:p>
                <w:p w:rsidR="00AC7E40" w:rsidRPr="00D611B0" w:rsidRDefault="00AC7E40" w:rsidP="00AC7E40">
                  <w:pPr>
                    <w:rPr>
                      <w:b/>
                      <w:i/>
                    </w:rPr>
                  </w:pPr>
                  <w:r w:rsidRPr="00D611B0">
                    <w:rPr>
                      <w:b/>
                      <w:i/>
                    </w:rPr>
                    <w:t>Age Groups and factors for OY Adjustments</w:t>
                  </w:r>
                  <w:r>
                    <w:rPr>
                      <w:b/>
                      <w:i/>
                    </w:rPr>
                    <w:t xml:space="preserve"> for SOL events</w:t>
                  </w:r>
                </w:p>
                <w:tbl>
                  <w:tblPr>
                    <w:tblStyle w:val="TableGrid"/>
                    <w:tblW w:w="9313" w:type="dxa"/>
                    <w:tblLook w:val="04A0" w:firstRow="1" w:lastRow="0" w:firstColumn="1" w:lastColumn="0" w:noHBand="0" w:noVBand="1"/>
                  </w:tblPr>
                  <w:tblGrid>
                    <w:gridCol w:w="824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78"/>
                    <w:gridCol w:w="420"/>
                    <w:gridCol w:w="421"/>
                  </w:tblGrid>
                  <w:tr w:rsidR="00972C73" w:rsidTr="00972C73">
                    <w:trPr>
                      <w:trHeight w:val="343"/>
                    </w:trPr>
                    <w:tc>
                      <w:tcPr>
                        <w:tcW w:w="824" w:type="dxa"/>
                      </w:tcPr>
                      <w:p w:rsidR="00972C73" w:rsidRDefault="00972C73" w:rsidP="00DF533F"/>
                    </w:tc>
                    <w:tc>
                      <w:tcPr>
                        <w:tcW w:w="1434" w:type="dxa"/>
                        <w:gridSpan w:val="3"/>
                      </w:tcPr>
                      <w:p w:rsidR="00972C73" w:rsidRDefault="00972C73" w:rsidP="00DF533F">
                        <w:pPr>
                          <w:jc w:val="center"/>
                        </w:pPr>
                        <w:r>
                          <w:t>Junior</w:t>
                        </w:r>
                      </w:p>
                    </w:tc>
                    <w:tc>
                      <w:tcPr>
                        <w:tcW w:w="6634" w:type="dxa"/>
                        <w:gridSpan w:val="14"/>
                      </w:tcPr>
                      <w:p w:rsidR="00972C73" w:rsidRDefault="00972C73" w:rsidP="00DF533F">
                        <w:pPr>
                          <w:jc w:val="center"/>
                        </w:pPr>
                        <w:r>
                          <w:t>Senior</w:t>
                        </w:r>
                      </w:p>
                    </w:tc>
                    <w:tc>
                      <w:tcPr>
                        <w:tcW w:w="412" w:type="dxa"/>
                      </w:tcPr>
                      <w:p w:rsidR="00972C73" w:rsidRDefault="00972C73" w:rsidP="00DF533F">
                        <w:pPr>
                          <w:jc w:val="center"/>
                        </w:pPr>
                      </w:p>
                    </w:tc>
                  </w:tr>
                  <w:tr w:rsidR="00972C73" w:rsidTr="00972C73">
                    <w:tc>
                      <w:tcPr>
                        <w:tcW w:w="824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Age group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0B35A5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0B35A5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0B35A5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0B35A5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478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412" w:type="dxa"/>
                      </w:tcPr>
                      <w:p w:rsidR="00972C73" w:rsidRPr="00F94A3A" w:rsidRDefault="00972C73" w:rsidP="00DF533F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A82810">
                          <w:rPr>
                            <w:sz w:val="20"/>
                            <w:szCs w:val="20"/>
                          </w:rPr>
                          <w:t>85</w:t>
                        </w:r>
                      </w:p>
                    </w:tc>
                  </w:tr>
                  <w:tr w:rsidR="00972C73" w:rsidTr="00972C73">
                    <w:tc>
                      <w:tcPr>
                        <w:tcW w:w="824" w:type="dxa"/>
                      </w:tcPr>
                      <w:p w:rsidR="00972C73" w:rsidRPr="00E90585" w:rsidRDefault="00972C73" w:rsidP="00DF533F">
                        <w:pPr>
                          <w:rPr>
                            <w:sz w:val="20"/>
                            <w:szCs w:val="20"/>
                          </w:rPr>
                        </w:pPr>
                        <w:r w:rsidRPr="00E90585">
                          <w:rPr>
                            <w:sz w:val="20"/>
                            <w:szCs w:val="20"/>
                          </w:rPr>
                          <w:t xml:space="preserve">Men 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E8384E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1.</w:t>
                        </w:r>
                        <w:r w:rsidR="00972C73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E8384E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1.</w:t>
                        </w:r>
                        <w:r w:rsidR="00972C73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1.0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.75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.85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.90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1.0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.90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.85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.80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.75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.70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.65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.60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F26F0D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.5</w:t>
                        </w: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F26F0D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.50</w:t>
                        </w:r>
                      </w:p>
                    </w:tc>
                    <w:tc>
                      <w:tcPr>
                        <w:tcW w:w="420" w:type="dxa"/>
                        <w:vAlign w:val="center"/>
                      </w:tcPr>
                      <w:p w:rsidR="00972C73" w:rsidRPr="00E90585" w:rsidRDefault="00972C73" w:rsidP="00AE376D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45</w:t>
                        </w:r>
                      </w:p>
                    </w:tc>
                    <w:tc>
                      <w:tcPr>
                        <w:tcW w:w="412" w:type="dxa"/>
                      </w:tcPr>
                      <w:p w:rsidR="00972C73" w:rsidRPr="00F94A3A" w:rsidRDefault="00972C73" w:rsidP="00AE376D">
                        <w:pPr>
                          <w:jc w:val="center"/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en-AU"/>
                          </w:rPr>
                        </w:pPr>
                        <w:r w:rsidRPr="00A82810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40</w:t>
                        </w:r>
                      </w:p>
                    </w:tc>
                  </w:tr>
                  <w:tr w:rsidR="00972C73" w:rsidRPr="00CB54B6" w:rsidTr="00972C73">
                    <w:tc>
                      <w:tcPr>
                        <w:tcW w:w="824" w:type="dxa"/>
                      </w:tcPr>
                      <w:p w:rsidR="00972C73" w:rsidRPr="00CB54B6" w:rsidRDefault="00972C73" w:rsidP="00A37869">
                        <w:pP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CB54B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Women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E8384E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1.</w:t>
                        </w:r>
                        <w:r w:rsidR="00972C73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CB54B6" w:rsidRDefault="00E8384E" w:rsidP="008D69E7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1.</w:t>
                        </w:r>
                        <w:r w:rsidR="00972C73" w:rsidRPr="00CB54B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1.0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.75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.85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.90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1.0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.90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.85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9A71A8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</w:t>
                        </w: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80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9A71A8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.7</w:t>
                        </w: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.7</w:t>
                        </w: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.6</w:t>
                        </w:r>
                        <w:r w:rsidRPr="00E90585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DF533F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.60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F26F0D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.55</w:t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:rsidR="00972C73" w:rsidRPr="00E90585" w:rsidRDefault="00972C73" w:rsidP="00F26F0D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.50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972C73" w:rsidRDefault="00972C73" w:rsidP="00AE376D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45</w:t>
                        </w:r>
                      </w:p>
                    </w:tc>
                    <w:tc>
                      <w:tcPr>
                        <w:tcW w:w="421" w:type="dxa"/>
                        <w:vAlign w:val="center"/>
                      </w:tcPr>
                      <w:p w:rsidR="00972C73" w:rsidRPr="00A82810" w:rsidRDefault="00972C73" w:rsidP="00972C73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</w:pPr>
                        <w:r w:rsidRPr="00A82810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en-AU"/>
                          </w:rPr>
                          <w:t>40</w:t>
                        </w:r>
                      </w:p>
                    </w:tc>
                  </w:tr>
                </w:tbl>
                <w:p w:rsidR="00634E20" w:rsidRDefault="00634E20" w:rsidP="00634E20">
                  <w:pPr>
                    <w:spacing w:after="0"/>
                  </w:pPr>
                </w:p>
                <w:p w:rsidR="00634E20" w:rsidRDefault="00634E20" w:rsidP="00972C73">
                  <w:pPr>
                    <w:spacing w:after="0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</w:p>
                <w:p w:rsidR="00FE4626" w:rsidRPr="00FE4626" w:rsidRDefault="00FE4626" w:rsidP="00972C73">
                  <w:pPr>
                    <w:spacing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Eligible Classes</w:t>
                  </w:r>
                </w:p>
                <w:p w:rsid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To be eligible to score OY points, competitors must run the courses shown below, or higher ones.</w:t>
                  </w:r>
                </w:p>
                <w:p w:rsidR="008517E3" w:rsidRDefault="006236D9" w:rsidP="006236D9">
                  <w:r>
                    <w:t>For the Non Championship Classic</w:t>
                  </w:r>
                  <w:r w:rsidR="009653B5">
                    <w:t xml:space="preserve"> (Long)</w:t>
                  </w:r>
                  <w:r>
                    <w:t xml:space="preserve"> distance event you need to enter a minimum of the following courses according to your age group. </w:t>
                  </w:r>
                </w:p>
                <w:p w:rsidR="00634E20" w:rsidRDefault="00634E20" w:rsidP="00972C73">
                  <w:pPr>
                    <w:spacing w:after="0"/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896"/>
                    <w:gridCol w:w="898"/>
                    <w:gridCol w:w="898"/>
                    <w:gridCol w:w="2865"/>
                    <w:gridCol w:w="2865"/>
                  </w:tblGrid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960" w:type="pct"/>
                        <w:gridSpan w:val="2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Men</w:t>
                        </w:r>
                      </w:p>
                    </w:tc>
                    <w:tc>
                      <w:tcPr>
                        <w:tcW w:w="964" w:type="pct"/>
                        <w:gridSpan w:val="2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Women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Minimum Course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Length % of H1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  <w:hideMark/>
                      </w:tcPr>
                      <w:p w:rsidR="009653B5" w:rsidRPr="00FE4626" w:rsidRDefault="009653B5" w:rsidP="009A71A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</w:t>
                        </w:r>
                        <w:r w:rsidR="009A71A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9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-39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H1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100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17</w:t>
                        </w:r>
                        <w:r w:rsidR="009A71A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-18</w:t>
                        </w:r>
                      </w:p>
                    </w:tc>
                    <w:tc>
                      <w:tcPr>
                        <w:tcW w:w="481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40-54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D73D8A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19</w:t>
                        </w:r>
                        <w:r w:rsidR="009653B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-49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H2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60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D73D8A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15-16</w:t>
                        </w:r>
                      </w:p>
                    </w:tc>
                    <w:tc>
                      <w:tcPr>
                        <w:tcW w:w="481" w:type="pct"/>
                      </w:tcPr>
                      <w:p w:rsidR="009653B5" w:rsidRPr="00FE4626" w:rsidRDefault="009653B5" w:rsidP="00A6602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55-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64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D73D8A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17-18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50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-5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4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H3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45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</w:tcPr>
                      <w:p w:rsidR="009653B5" w:rsidRDefault="00A66026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65</w:t>
                        </w:r>
                        <w:r w:rsidR="00972C7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-74</w:t>
                        </w:r>
                      </w:p>
                      <w:p w:rsidR="00101AEA" w:rsidRPr="00FE4626" w:rsidRDefault="00101AEA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Sledge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15-16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Default="00A66026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</w:t>
                        </w:r>
                        <w:r w:rsidR="009653B5"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</w:t>
                        </w:r>
                        <w:r w:rsidR="00972C7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-69</w:t>
                        </w:r>
                      </w:p>
                      <w:p w:rsidR="00101AEA" w:rsidRPr="00FE4626" w:rsidRDefault="00101AEA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Sledge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H4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3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</w:t>
                        </w:r>
                      </w:p>
                      <w:p w:rsidR="009653B5" w:rsidRDefault="009653B5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8517E3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 xml:space="preserve">Less physically challenging than </w:t>
                        </w:r>
                        <w:r w:rsidR="00972C73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>H1 – H3</w:t>
                        </w:r>
                        <w:r w:rsidRPr="008517E3">
                          <w:rPr>
                            <w:rFonts w:ascii="Verdana" w:hAnsi="Verdana"/>
                            <w:i/>
                            <w:iCs/>
                            <w:sz w:val="16"/>
                            <w:szCs w:val="20"/>
                          </w:rPr>
                          <w:t> </w:t>
                        </w:r>
                      </w:p>
                    </w:tc>
                  </w:tr>
                  <w:tr w:rsidR="00972C73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72C73" w:rsidRPr="00E700D7" w:rsidRDefault="00972C73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</w:tcPr>
                      <w:p w:rsidR="00972C73" w:rsidRPr="00E700D7" w:rsidRDefault="00972C73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E700D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75+</w:t>
                        </w:r>
                      </w:p>
                    </w:tc>
                    <w:tc>
                      <w:tcPr>
                        <w:tcW w:w="482" w:type="pct"/>
                      </w:tcPr>
                      <w:p w:rsidR="00972C73" w:rsidRPr="00E700D7" w:rsidRDefault="00972C73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</w:tcPr>
                      <w:p w:rsidR="00972C73" w:rsidRPr="00E700D7" w:rsidRDefault="00972C73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E700D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70+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72C73" w:rsidRPr="00E700D7" w:rsidRDefault="00972C73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E700D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H5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72C73" w:rsidRPr="00E700D7" w:rsidRDefault="00972C73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E700D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25</w:t>
                        </w:r>
                      </w:p>
                      <w:p w:rsidR="00972C73" w:rsidRPr="00E700D7" w:rsidRDefault="00972C73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16"/>
                            <w:szCs w:val="16"/>
                            <w:lang w:eastAsia="en-AU"/>
                          </w:rPr>
                        </w:pPr>
                        <w:r w:rsidRPr="00E700D7">
                          <w:rPr>
                            <w:rFonts w:ascii="Verdana" w:eastAsia="Times New Roman" w:hAnsi="Verdana" w:cs="Times New Roman"/>
                            <w:b/>
                            <w:i/>
                            <w:sz w:val="16"/>
                            <w:szCs w:val="16"/>
                            <w:lang w:eastAsia="en-AU"/>
                          </w:rPr>
                          <w:t xml:space="preserve">As for H4, avoid steep, </w:t>
                        </w:r>
                        <w:proofErr w:type="gramStart"/>
                        <w:r w:rsidRPr="00E700D7">
                          <w:rPr>
                            <w:rFonts w:ascii="Verdana" w:eastAsia="Times New Roman" w:hAnsi="Verdana" w:cs="Times New Roman"/>
                            <w:b/>
                            <w:i/>
                            <w:sz w:val="16"/>
                            <w:szCs w:val="16"/>
                            <w:lang w:eastAsia="en-AU"/>
                          </w:rPr>
                          <w:t>rough  terrain</w:t>
                        </w:r>
                        <w:proofErr w:type="gramEnd"/>
                        <w:r w:rsidRPr="00E700D7">
                          <w:rPr>
                            <w:rFonts w:ascii="Verdana" w:eastAsia="Times New Roman" w:hAnsi="Verdana" w:cs="Times New Roman"/>
                            <w:b/>
                            <w:i/>
                            <w:sz w:val="16"/>
                            <w:szCs w:val="16"/>
                            <w:lang w:eastAsia="en-AU"/>
                          </w:rPr>
                          <w:t xml:space="preserve"> and thick vegetation</w:t>
                        </w:r>
                        <w:r w:rsidRPr="00E700D7">
                          <w:rPr>
                            <w:rFonts w:ascii="Verdana" w:eastAsia="Times New Roman" w:hAnsi="Verdana" w:cs="Times New Roman"/>
                            <w:b/>
                            <w:sz w:val="16"/>
                            <w:szCs w:val="16"/>
                            <w:lang w:eastAsia="en-AU"/>
                          </w:rPr>
                          <w:t>.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13-14</w:t>
                        </w: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13-14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M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25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</w:tblGrid>
                        <w:tr w:rsidR="009653B5" w:rsidRPr="00FE4626" w:rsidTr="0069382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653B5" w:rsidRPr="00FE4626" w:rsidRDefault="00A66026" w:rsidP="009653B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en-AU"/>
                                </w:rPr>
                                <w:t>11-12</w:t>
                              </w:r>
                            </w:p>
                          </w:tc>
                        </w:tr>
                      </w:tbl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11-12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E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3km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</w:tcPr>
                      <w:p w:rsidR="00A66026" w:rsidRPr="00FE4626" w:rsidRDefault="009653B5" w:rsidP="00A6602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&lt;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 xml:space="preserve"> or = 10</w:t>
                        </w: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9653B5" w:rsidP="00A6602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&lt;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 xml:space="preserve"> or = 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0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VE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2km</w:t>
                        </w:r>
                      </w:p>
                    </w:tc>
                  </w:tr>
                </w:tbl>
                <w:p w:rsidR="006236D9" w:rsidRDefault="006236D9" w:rsidP="006236D9"/>
                <w:p w:rsidR="006236D9" w:rsidRDefault="006236D9" w:rsidP="006236D9">
                  <w:r>
                    <w:t xml:space="preserve">For the Non Championship Middle distance events you need to enter a minimum of the following courses according to you age group. </w:t>
                  </w:r>
                </w:p>
                <w:p w:rsidR="00EF14D1" w:rsidRDefault="00EF14D1" w:rsidP="00972C73">
                  <w:pPr>
                    <w:spacing w:after="0"/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896"/>
                    <w:gridCol w:w="898"/>
                    <w:gridCol w:w="898"/>
                    <w:gridCol w:w="2865"/>
                    <w:gridCol w:w="2865"/>
                  </w:tblGrid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960" w:type="pct"/>
                        <w:gridSpan w:val="2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Men</w:t>
                        </w:r>
                      </w:p>
                    </w:tc>
                    <w:tc>
                      <w:tcPr>
                        <w:tcW w:w="964" w:type="pct"/>
                        <w:gridSpan w:val="2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Women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Minimum Course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Length % of H1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  <w:hideMark/>
                      </w:tcPr>
                      <w:p w:rsidR="009653B5" w:rsidRPr="00FE4626" w:rsidRDefault="009653B5" w:rsidP="00A6602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9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-39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H1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100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A6602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7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-1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8</w:t>
                        </w:r>
                      </w:p>
                    </w:tc>
                    <w:tc>
                      <w:tcPr>
                        <w:tcW w:w="481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40-54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A6602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9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-49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H2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0001B4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7</w:t>
                        </w:r>
                        <w:r w:rsidR="009653B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0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15-16</w:t>
                        </w:r>
                      </w:p>
                    </w:tc>
                    <w:tc>
                      <w:tcPr>
                        <w:tcW w:w="481" w:type="pct"/>
                      </w:tcPr>
                      <w:p w:rsidR="009653B5" w:rsidRDefault="009653B5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55-</w:t>
                        </w:r>
                        <w:r w:rsidR="00972C7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74</w:t>
                        </w:r>
                      </w:p>
                      <w:p w:rsidR="00101AEA" w:rsidRPr="00FE4626" w:rsidRDefault="00101AEA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Sledge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586FA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</w:t>
                        </w:r>
                        <w:r w:rsidR="00586FA9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-1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8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Default="009653B5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FE46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50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-6</w:t>
                        </w:r>
                        <w:r w:rsidR="00972C7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4</w:t>
                        </w:r>
                      </w:p>
                      <w:p w:rsidR="00101AEA" w:rsidRPr="00FE4626" w:rsidRDefault="00101AEA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Sledge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H3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0001B4" w:rsidRDefault="000001B4" w:rsidP="000001B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40</w:t>
                        </w:r>
                      </w:p>
                      <w:p w:rsidR="009653B5" w:rsidRDefault="000001B4" w:rsidP="000001B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8517E3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 xml:space="preserve">Less physically challenging than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>H1 &amp; H2</w:t>
                        </w:r>
                        <w:r w:rsidRPr="008517E3">
                          <w:rPr>
                            <w:rFonts w:ascii="Verdana" w:hAnsi="Verdana"/>
                            <w:i/>
                            <w:iCs/>
                            <w:sz w:val="16"/>
                            <w:szCs w:val="20"/>
                          </w:rPr>
                          <w:t> 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</w:tcPr>
                      <w:p w:rsidR="009653B5" w:rsidRPr="00FE4626" w:rsidRDefault="009653B5" w:rsidP="00A6602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7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</w:t>
                        </w: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+</w:t>
                        </w: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9653B5" w:rsidP="00586FA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E8384E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65</w:t>
                        </w:r>
                        <w:r w:rsidR="009653B5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+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H4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30</w:t>
                        </w:r>
                      </w:p>
                      <w:p w:rsidR="009653B5" w:rsidRDefault="00972C73" w:rsidP="00972C7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972C73">
                          <w:rPr>
                            <w:rFonts w:ascii="Verdana" w:eastAsia="Times New Roman" w:hAnsi="Verdana" w:cs="Times New Roman"/>
                            <w:b/>
                            <w:i/>
                            <w:sz w:val="16"/>
                            <w:szCs w:val="16"/>
                            <w:lang w:eastAsia="en-AU"/>
                          </w:rPr>
                          <w:t>As for H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i/>
                            <w:sz w:val="16"/>
                            <w:szCs w:val="16"/>
                            <w:lang w:eastAsia="en-AU"/>
                          </w:rPr>
                          <w:t>3</w:t>
                        </w:r>
                        <w:r w:rsidRPr="00972C73">
                          <w:rPr>
                            <w:rFonts w:ascii="Verdana" w:eastAsia="Times New Roman" w:hAnsi="Verdana" w:cs="Times New Roman"/>
                            <w:b/>
                            <w:i/>
                            <w:sz w:val="16"/>
                            <w:szCs w:val="16"/>
                            <w:lang w:eastAsia="en-AU"/>
                          </w:rPr>
                          <w:t>, avoid steep, rough  terrain and thick vegetation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13-14</w:t>
                        </w: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13-14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M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25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</w:tblGrid>
                        <w:tr w:rsidR="009653B5" w:rsidRPr="00FE4626" w:rsidTr="0069382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653B5" w:rsidRPr="00FE4626" w:rsidRDefault="00A66026" w:rsidP="009653B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en-AU"/>
                                </w:rPr>
                                <w:t>11-12</w:t>
                              </w:r>
                            </w:p>
                          </w:tc>
                        </w:tr>
                      </w:tbl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  <w:hideMark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11-12</w:t>
                        </w:r>
                      </w:p>
                    </w:tc>
                    <w:tc>
                      <w:tcPr>
                        <w:tcW w:w="1538" w:type="pct"/>
                        <w:hideMark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E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3km</w:t>
                        </w:r>
                      </w:p>
                    </w:tc>
                  </w:tr>
                  <w:tr w:rsidR="009653B5" w:rsidRPr="00FE4626" w:rsidTr="00693826">
                    <w:trPr>
                      <w:tblCellSpacing w:w="0" w:type="dxa"/>
                      <w:jc w:val="center"/>
                    </w:trPr>
                    <w:tc>
                      <w:tcPr>
                        <w:tcW w:w="479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1" w:type="pct"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&lt; or = 10</w:t>
                        </w: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482" w:type="pct"/>
                      </w:tcPr>
                      <w:p w:rsidR="009653B5" w:rsidRPr="00FE4626" w:rsidRDefault="00A66026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&lt; or = 10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VE</w:t>
                        </w:r>
                      </w:p>
                    </w:tc>
                    <w:tc>
                      <w:tcPr>
                        <w:tcW w:w="1538" w:type="pct"/>
                      </w:tcPr>
                      <w:p w:rsidR="009653B5" w:rsidRDefault="009653B5" w:rsidP="009653B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2km</w:t>
                        </w:r>
                      </w:p>
                    </w:tc>
                  </w:tr>
                </w:tbl>
                <w:p w:rsidR="006236D9" w:rsidRDefault="006236D9" w:rsidP="006236D9"/>
                <w:p w:rsidR="006236D9" w:rsidRDefault="006236D9" w:rsidP="006236D9">
                  <w:r>
                    <w:t xml:space="preserve">For the Non Championship Sprint Event  </w:t>
                  </w:r>
                </w:p>
                <w:tbl>
                  <w:tblPr>
                    <w:tblW w:w="8589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  <w:gridCol w:w="1570"/>
                    <w:gridCol w:w="1409"/>
                    <w:gridCol w:w="1452"/>
                    <w:gridCol w:w="2943"/>
                  </w:tblGrid>
                  <w:tr w:rsidR="00B17D41" w:rsidTr="00B17D41">
                    <w:tc>
                      <w:tcPr>
                        <w:tcW w:w="1622" w:type="pct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Men</w:t>
                        </w:r>
                      </w:p>
                    </w:tc>
                    <w:tc>
                      <w:tcPr>
                        <w:tcW w:w="1665" w:type="pct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Women</w:t>
                        </w:r>
                      </w:p>
                    </w:tc>
                    <w:tc>
                      <w:tcPr>
                        <w:tcW w:w="1713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u w:val="single"/>
                            <w:lang w:eastAsia="en-AU"/>
                          </w:rPr>
                          <w:t>Minimum Course</w:t>
                        </w:r>
                      </w:p>
                    </w:tc>
                  </w:tr>
                  <w:tr w:rsidR="00B17D41" w:rsidTr="00B17D41">
                    <w:tc>
                      <w:tcPr>
                        <w:tcW w:w="708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17-20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pStyle w:val="NormalWeb"/>
                          <w:spacing w:after="0" w:afterAutospacing="0"/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B17D41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21-44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713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pStyle w:val="NormalWeb"/>
                          <w:spacing w:after="0" w:afterAutospacing="0"/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B17D41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Long</w:t>
                        </w:r>
                      </w:p>
                    </w:tc>
                  </w:tr>
                  <w:tr w:rsidR="00B17D41" w:rsidTr="00B17D41">
                    <w:tc>
                      <w:tcPr>
                        <w:tcW w:w="708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0001B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</w:t>
                        </w:r>
                        <w:r w:rsidR="000001B4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5</w:t>
                        </w: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-16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45-74</w:t>
                        </w:r>
                        <w:r w:rsidR="00101A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, Sledge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15-20</w:t>
                        </w: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21-64</w:t>
                        </w:r>
                        <w:r w:rsidR="00101A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, Sledge</w:t>
                        </w:r>
                      </w:p>
                    </w:tc>
                    <w:tc>
                      <w:tcPr>
                        <w:tcW w:w="1713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Medium</w:t>
                        </w:r>
                      </w:p>
                    </w:tc>
                  </w:tr>
                  <w:tr w:rsidR="00B17D41" w:rsidTr="00B17D41">
                    <w:tc>
                      <w:tcPr>
                        <w:tcW w:w="708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0001B4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13-14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pStyle w:val="NormalWeb"/>
                          <w:spacing w:after="0" w:afterAutospacing="0"/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B17D41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75+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pStyle w:val="NormalWeb"/>
                          <w:spacing w:after="0" w:afterAutospacing="0"/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B17D41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13-14</w:t>
                        </w: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pStyle w:val="NormalWeb"/>
                          <w:spacing w:after="0" w:afterAutospacing="0"/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B17D41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65+</w:t>
                        </w:r>
                      </w:p>
                    </w:tc>
                    <w:tc>
                      <w:tcPr>
                        <w:tcW w:w="1713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pStyle w:val="NormalWeb"/>
                          <w:spacing w:after="0" w:afterAutospacing="0"/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B17D41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Short</w:t>
                        </w:r>
                      </w:p>
                    </w:tc>
                  </w:tr>
                  <w:tr w:rsidR="00B17D41" w:rsidTr="00B17D41">
                    <w:tc>
                      <w:tcPr>
                        <w:tcW w:w="708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&lt;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 xml:space="preserve"> or = </w:t>
                        </w: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12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&lt;</w:t>
                        </w:r>
                        <w:r w:rsidR="00A6602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 xml:space="preserve"> or = </w:t>
                        </w: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12</w:t>
                        </w:r>
                      </w:p>
                    </w:tc>
                    <w:tc>
                      <w:tcPr>
                        <w:tcW w:w="84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713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B17D41" w:rsidRPr="00B17D41" w:rsidRDefault="00B17D41" w:rsidP="00B17D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B17D4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Easy</w:t>
                        </w:r>
                      </w:p>
                    </w:tc>
                  </w:tr>
                </w:tbl>
                <w:p w:rsidR="006236D9" w:rsidRDefault="006236D9" w:rsidP="006236D9"/>
                <w:p w:rsidR="006236D9" w:rsidRDefault="006236D9" w:rsidP="006236D9">
                  <w:r>
                    <w:t xml:space="preserve">As Championship events are run in age classes, for the three SOL Championship events you must enter the course for your age group as the minimum course. </w:t>
                  </w:r>
                </w:p>
                <w:p w:rsidR="006236D9" w:rsidRPr="00E857B2" w:rsidRDefault="006236D9" w:rsidP="006236D9">
                  <w:pPr>
                    <w:rPr>
                      <w:i/>
                      <w:u w:val="single"/>
                    </w:rPr>
                  </w:pPr>
                  <w:r w:rsidRPr="00E857B2">
                    <w:rPr>
                      <w:i/>
                      <w:u w:val="single"/>
                    </w:rPr>
                    <w:t>You may enter a harder or longer course but you will still receive the same factor.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Organiser's Allowance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People who cannot complete in an </w:t>
                  </w:r>
                  <w:r w:rsidR="008F7E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SOL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event because they are involved in its </w:t>
                  </w:r>
                  <w:r w:rsidR="00CA37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setting or 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organisation will be given an organiser's allowance. 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They will have added to their </w:t>
                  </w:r>
                  <w:r w:rsidR="008F7E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SOL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score at the end of the season points to the value of the average of th</w:t>
                  </w:r>
                  <w:r w:rsidR="005D5F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eir best three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scores from valid runs. This applies only to the Controller, Course Setter, </w:t>
                  </w:r>
                  <w:r w:rsidR="001472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and any 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Assistant Course Setter(s)</w:t>
                  </w:r>
                  <w:r w:rsidR="001472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,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and </w:t>
                  </w:r>
                  <w:r w:rsidR="001472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to 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the </w:t>
                  </w:r>
                  <w:r w:rsidR="001472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Organiser if they were unable to compete, at</w:t>
                  </w: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the event. 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Cancellation of Courses</w:t>
                  </w:r>
                </w:p>
                <w:p w:rsidR="00FE4626" w:rsidRP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If a course is cancelled, the competitors on that course will be allocated an average as for the organiser's allowance. </w:t>
                  </w:r>
                </w:p>
                <w:p w:rsidR="00FE4626" w:rsidRDefault="00FE4626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FE46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The results of competitors on other courses shall be treated as usual. </w:t>
                  </w:r>
                </w:p>
                <w:p w:rsidR="0007423D" w:rsidRPr="00FE4626" w:rsidRDefault="0007423D" w:rsidP="0007423D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en-AU"/>
                    </w:rPr>
                    <w:t>Sledge Class</w:t>
                  </w:r>
                </w:p>
                <w:p w:rsidR="006C2657" w:rsidRDefault="0007423D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From Season 2020 a new Sledge class has been added to Championship and OY events. </w:t>
                  </w:r>
                  <w:r w:rsidR="004761A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Sledge is an open class for men and women of any age.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This means that </w:t>
                  </w:r>
                  <w:r w:rsidR="001472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competitors in the Sledge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class at Championship and State League events can score SOL points in accordance with their Age Factor. </w:t>
                  </w:r>
                </w:p>
                <w:p w:rsidR="0007423D" w:rsidRDefault="000339DD" w:rsidP="00FE462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The Sledge competition</w:t>
                  </w:r>
                  <w:r w:rsidR="00AF03A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will be monitored for so-called ‘B</w:t>
                  </w:r>
                  <w:r w:rsidR="00CE0A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adge Bandits’, and any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exceptional</w:t>
                  </w:r>
                  <w:r w:rsidR="00CE0A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ly fast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kilometre rates may be adjusted by the Technical Committee</w:t>
                  </w:r>
                  <w:r w:rsidR="00CE0A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, taking into account the competitor’s previous orienteering experience.</w:t>
                  </w:r>
                  <w:r w:rsidR="006C265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The </w:t>
                  </w:r>
                  <w:r w:rsidR="00CE0A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adjustment will be based on the National Standard speed for M21AS</w:t>
                  </w:r>
                  <w:r w:rsidR="001472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relative</w:t>
                  </w:r>
                  <w:r w:rsidR="00CE0A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to M21E of 0.75</w:t>
                  </w:r>
                  <w:r w:rsidR="0076342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, or for W21AS of 0.62</w:t>
                  </w:r>
                  <w:bookmarkStart w:id="0" w:name="_GoBack"/>
                  <w:bookmarkEnd w:id="0"/>
                  <w:r w:rsidR="00CE0A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(see Appendix 1, 4.1 of OA Competition Rules 2019)</w:t>
                  </w:r>
                  <w:r w:rsidR="009671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.</w:t>
                  </w:r>
                </w:p>
                <w:p w:rsidR="0007423D" w:rsidRPr="00FE4626" w:rsidRDefault="0007423D" w:rsidP="0056207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FE4626" w:rsidRPr="00FE4626" w:rsidRDefault="00FE4626" w:rsidP="00FE46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" w:type="pct"/>
            <w:hideMark/>
          </w:tcPr>
          <w:p w:rsidR="00FE4626" w:rsidRPr="00FE4626" w:rsidRDefault="00FE4626" w:rsidP="00FE462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</w:tbl>
    <w:p w:rsidR="00FE4626" w:rsidRPr="00FE4626" w:rsidRDefault="00FE4626" w:rsidP="00FE4626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</w:pPr>
      <w:r w:rsidRPr="00FE4626"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  <w:lastRenderedPageBreak/>
        <w:t xml:space="preserve">Last modified: </w:t>
      </w:r>
      <w:r w:rsidR="00E8384E"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  <w:t>May</w:t>
      </w:r>
      <w:r w:rsidR="00101AEA"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  <w:t xml:space="preserve"> 2020</w:t>
      </w:r>
    </w:p>
    <w:sectPr w:rsidR="00FE4626" w:rsidRPr="00FE4626" w:rsidSect="00972C73">
      <w:pgSz w:w="11906" w:h="16838"/>
      <w:pgMar w:top="851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842"/>
    <w:multiLevelType w:val="multilevel"/>
    <w:tmpl w:val="A7E0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26"/>
    <w:rsid w:val="000001B4"/>
    <w:rsid w:val="000339DD"/>
    <w:rsid w:val="0007278D"/>
    <w:rsid w:val="0007423D"/>
    <w:rsid w:val="00084F79"/>
    <w:rsid w:val="000B35A5"/>
    <w:rsid w:val="000B6247"/>
    <w:rsid w:val="000B7D6B"/>
    <w:rsid w:val="00101AEA"/>
    <w:rsid w:val="001472FA"/>
    <w:rsid w:val="00154671"/>
    <w:rsid w:val="00233842"/>
    <w:rsid w:val="00297DF9"/>
    <w:rsid w:val="004761AB"/>
    <w:rsid w:val="004F1289"/>
    <w:rsid w:val="0056207E"/>
    <w:rsid w:val="00586FA9"/>
    <w:rsid w:val="005C3FD6"/>
    <w:rsid w:val="005D5FA3"/>
    <w:rsid w:val="006236D9"/>
    <w:rsid w:val="00633168"/>
    <w:rsid w:val="00634E20"/>
    <w:rsid w:val="00697694"/>
    <w:rsid w:val="006C2657"/>
    <w:rsid w:val="0076342F"/>
    <w:rsid w:val="007E429F"/>
    <w:rsid w:val="007E466E"/>
    <w:rsid w:val="008267AE"/>
    <w:rsid w:val="00837809"/>
    <w:rsid w:val="008517E3"/>
    <w:rsid w:val="008575B5"/>
    <w:rsid w:val="00875B20"/>
    <w:rsid w:val="008D69E7"/>
    <w:rsid w:val="008F7E65"/>
    <w:rsid w:val="009653B5"/>
    <w:rsid w:val="009671DD"/>
    <w:rsid w:val="00972C73"/>
    <w:rsid w:val="009A71A8"/>
    <w:rsid w:val="00A37869"/>
    <w:rsid w:val="00A66026"/>
    <w:rsid w:val="00A82810"/>
    <w:rsid w:val="00AC7E40"/>
    <w:rsid w:val="00AE376D"/>
    <w:rsid w:val="00AF03AC"/>
    <w:rsid w:val="00B17D41"/>
    <w:rsid w:val="00B3378D"/>
    <w:rsid w:val="00C01981"/>
    <w:rsid w:val="00CA37CF"/>
    <w:rsid w:val="00CE0A4B"/>
    <w:rsid w:val="00D73D8A"/>
    <w:rsid w:val="00E14584"/>
    <w:rsid w:val="00E700D7"/>
    <w:rsid w:val="00E74D76"/>
    <w:rsid w:val="00E8384E"/>
    <w:rsid w:val="00EF14D1"/>
    <w:rsid w:val="00F00D71"/>
    <w:rsid w:val="00F26F0D"/>
    <w:rsid w:val="00F62729"/>
    <w:rsid w:val="00F94A3A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7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7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simmo</cp:lastModifiedBy>
  <cp:revision>9</cp:revision>
  <dcterms:created xsi:type="dcterms:W3CDTF">2020-05-25T05:07:00Z</dcterms:created>
  <dcterms:modified xsi:type="dcterms:W3CDTF">2020-06-08T09:29:00Z</dcterms:modified>
</cp:coreProperties>
</file>